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850"/>
        <w:rPr>
          <w:rFonts w:ascii="Times New Roman" w:hAnsi="Times New Roman"/>
          <w:sz w:val="28"/>
        </w:rPr>
      </w:pPr>
    </w:p>
    <w:p w14:paraId="02000000">
      <w:pPr>
        <w:spacing w:after="0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Штраф на работе – нарушение закона</w:t>
      </w: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Трудовым законодательством наложение на работников штрафа за неисполнение или ненадлежащее исполнение по его вине трудовых обязанностей не предусмотрено.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этого Трудовым кодексом РФ предусмотрены меры дисциплинарного взыскания: замечание, выговор и увольнение.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 внутренними нормативными актами организации может быть предусмотрена система премирования, позволяющая работодателю снижать размер премии или лишать ее работника за нарушение трудовой дисциплины.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Поскольку премирование является стимулирующей выплатой, снижение или лишение премии не является дисциплинарным взысканием.</w:t>
      </w:r>
    </w:p>
    <w:p w14:paraId="08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применении штрафов информируйте Государственную инспекцию труда по Нижегородской области или органы прокуратуры. Также защита нарушенных трудовых прав может быть осуществлена в судебном порядке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2025-06-03T08:52:03Z</dcterms:modified>
</cp:coreProperties>
</file>